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360" w:lineRule="auto"/>
        <w:ind w:leftChars="0"/>
        <w:rPr>
          <w:rFonts w:hint="eastAsia" w:ascii="仿宋" w:hAnsi="仿宋" w:eastAsia="仿宋"/>
          <w:b/>
          <w:bCs/>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lang w:val="en-US" w:eastAsia="zh-CN"/>
          <w14:textFill>
            <w14:solidFill>
              <w14:schemeClr w14:val="tx1"/>
            </w14:solidFill>
          </w14:textFill>
        </w:rPr>
        <w:t>附件四:</w:t>
      </w:r>
      <w:r>
        <w:rPr>
          <w:rFonts w:hint="eastAsia" w:ascii="仿宋" w:hAnsi="仿宋" w:eastAsia="仿宋"/>
          <w:b/>
          <w:bCs/>
          <w:color w:val="000000" w:themeColor="text1"/>
          <w:sz w:val="32"/>
          <w:szCs w:val="32"/>
          <w14:textFill>
            <w14:solidFill>
              <w14:schemeClr w14:val="tx1"/>
            </w14:solidFill>
          </w14:textFill>
        </w:rPr>
        <w:t>厦门</w:t>
      </w:r>
      <w:r>
        <w:rPr>
          <w:rFonts w:hint="eastAsia" w:ascii="仿宋" w:hAnsi="仿宋" w:eastAsia="仿宋"/>
          <w:b/>
          <w:bCs/>
          <w:color w:val="000000" w:themeColor="text1"/>
          <w:sz w:val="32"/>
          <w:szCs w:val="32"/>
          <w:lang w:eastAsia="zh-CN"/>
          <w14:textFill>
            <w14:solidFill>
              <w14:schemeClr w14:val="tx1"/>
            </w14:solidFill>
          </w14:textFill>
        </w:rPr>
        <w:t>市</w:t>
      </w:r>
      <w:r>
        <w:rPr>
          <w:rFonts w:hint="eastAsia" w:ascii="仿宋" w:hAnsi="仿宋" w:eastAsia="仿宋"/>
          <w:b/>
          <w:bCs/>
          <w:color w:val="000000" w:themeColor="text1"/>
          <w:sz w:val="32"/>
          <w:szCs w:val="32"/>
          <w14:textFill>
            <w14:solidFill>
              <w14:schemeClr w14:val="tx1"/>
            </w14:solidFill>
          </w14:textFill>
        </w:rPr>
        <w:t>园林</w:t>
      </w:r>
      <w:r>
        <w:rPr>
          <w:rFonts w:hint="eastAsia" w:ascii="仿宋" w:hAnsi="仿宋" w:eastAsia="仿宋"/>
          <w:b/>
          <w:bCs/>
          <w:color w:val="000000" w:themeColor="text1"/>
          <w:sz w:val="32"/>
          <w:szCs w:val="32"/>
          <w:lang w:eastAsia="zh-CN"/>
          <w14:textFill>
            <w14:solidFill>
              <w14:schemeClr w14:val="tx1"/>
            </w14:solidFill>
          </w14:textFill>
        </w:rPr>
        <w:t>植物园</w:t>
      </w:r>
      <w:r>
        <w:rPr>
          <w:rFonts w:hint="eastAsia" w:ascii="仿宋" w:hAnsi="仿宋" w:eastAsia="仿宋"/>
          <w:b/>
          <w:bCs/>
          <w:color w:val="000000" w:themeColor="text1"/>
          <w:sz w:val="32"/>
          <w:szCs w:val="32"/>
          <w14:textFill>
            <w14:solidFill>
              <w14:schemeClr w14:val="tx1"/>
            </w14:solidFill>
          </w14:textFill>
        </w:rPr>
        <w:t>安保质量</w:t>
      </w:r>
      <w:r>
        <w:rPr>
          <w:rFonts w:hint="eastAsia" w:ascii="仿宋" w:hAnsi="仿宋" w:eastAsia="仿宋"/>
          <w:b/>
          <w:bCs/>
          <w:color w:val="000000" w:themeColor="text1"/>
          <w:sz w:val="32"/>
          <w:szCs w:val="32"/>
          <w:lang w:val="en-US" w:eastAsia="zh-CN"/>
          <w14:textFill>
            <w14:solidFill>
              <w14:schemeClr w14:val="tx1"/>
            </w14:solidFill>
          </w14:textFill>
        </w:rPr>
        <w:t>月</w:t>
      </w:r>
      <w:r>
        <w:rPr>
          <w:rFonts w:hint="eastAsia" w:ascii="仿宋" w:hAnsi="仿宋" w:eastAsia="仿宋"/>
          <w:b/>
          <w:bCs/>
          <w:color w:val="000000" w:themeColor="text1"/>
          <w:sz w:val="32"/>
          <w:szCs w:val="32"/>
          <w14:textFill>
            <w14:solidFill>
              <w14:schemeClr w14:val="tx1"/>
            </w14:solidFill>
          </w14:textFill>
        </w:rPr>
        <w:t>考核评分表</w:t>
      </w:r>
    </w:p>
    <w:p>
      <w:pPr>
        <w:numPr>
          <w:ilvl w:val="0"/>
          <w:numId w:val="0"/>
        </w:numPr>
        <w:spacing w:line="360" w:lineRule="auto"/>
        <w:ind w:leftChars="0"/>
        <w:rPr>
          <w:rFonts w:hint="default" w:ascii="仿宋" w:hAnsi="仿宋" w:eastAsia="仿宋"/>
          <w:b/>
          <w:bCs/>
          <w:color w:val="000000" w:themeColor="text1"/>
          <w:sz w:val="32"/>
          <w:szCs w:val="32"/>
          <w:lang w:val="en-US" w:eastAsia="zh-CN"/>
          <w14:textFill>
            <w14:solidFill>
              <w14:schemeClr w14:val="tx1"/>
            </w14:solidFill>
          </w14:textFill>
        </w:rPr>
      </w:pPr>
      <w:r>
        <w:rPr>
          <w:rFonts w:hint="eastAsia" w:ascii="仿宋" w:hAnsi="仿宋" w:eastAsia="仿宋"/>
          <w:b/>
          <w:bCs/>
          <w:color w:val="000000" w:themeColor="text1"/>
          <w:sz w:val="32"/>
          <w:szCs w:val="32"/>
          <w:lang w:eastAsia="zh-CN"/>
          <w14:textFill>
            <w14:solidFill>
              <w14:schemeClr w14:val="tx1"/>
            </w14:solidFill>
          </w14:textFill>
        </w:rPr>
        <w:t>　</w:t>
      </w:r>
      <w:r>
        <w:rPr>
          <w:rFonts w:hint="eastAsia" w:ascii="仿宋" w:hAnsi="仿宋" w:eastAsia="仿宋"/>
          <w:b/>
          <w:bCs/>
          <w:color w:val="000000" w:themeColor="text1"/>
          <w:sz w:val="32"/>
          <w:szCs w:val="32"/>
          <w:lang w:val="en-US" w:eastAsia="zh-CN"/>
          <w14:textFill>
            <w14:solidFill>
              <w14:schemeClr w14:val="tx1"/>
            </w14:solidFill>
          </w14:textFill>
        </w:rPr>
        <w:t xml:space="preserve">        </w:t>
      </w:r>
      <w:r>
        <w:rPr>
          <w:rFonts w:hint="eastAsia" w:ascii="仿宋" w:hAnsi="仿宋" w:eastAsia="仿宋"/>
          <w:b/>
          <w:bCs/>
          <w:color w:val="000000" w:themeColor="text1"/>
          <w:sz w:val="32"/>
          <w:szCs w:val="32"/>
          <w:lang w:eastAsia="zh-CN"/>
          <w14:textFill>
            <w14:solidFill>
              <w14:schemeClr w14:val="tx1"/>
            </w14:solidFill>
          </w14:textFill>
        </w:rPr>
        <w:t>　　　　　　　　　　　</w:t>
      </w:r>
      <w:r>
        <w:rPr>
          <w:rFonts w:hint="eastAsia" w:ascii="仿宋" w:hAnsi="仿宋" w:eastAsia="仿宋"/>
          <w:b/>
          <w:bCs/>
          <w:color w:val="000000" w:themeColor="text1"/>
          <w:sz w:val="32"/>
          <w:szCs w:val="32"/>
          <w:lang w:val="en-US" w:eastAsia="zh-CN"/>
          <w14:textFill>
            <w14:solidFill>
              <w14:schemeClr w14:val="tx1"/>
            </w14:solidFill>
          </w14:textFill>
        </w:rPr>
        <w:t xml:space="preserve">                                  </w:t>
      </w:r>
      <w:r>
        <w:rPr>
          <w:rFonts w:hint="eastAsia" w:ascii="仿宋" w:hAnsi="仿宋" w:eastAsia="仿宋"/>
          <w:b/>
          <w:bCs/>
          <w:color w:val="000000" w:themeColor="text1"/>
          <w:sz w:val="24"/>
          <w:szCs w:val="24"/>
          <w:lang w:val="en-US" w:eastAsia="zh-CN"/>
          <w14:textFill>
            <w14:solidFill>
              <w14:schemeClr w14:val="tx1"/>
            </w14:solidFill>
          </w14:textFill>
        </w:rPr>
        <w:t xml:space="preserve">时间：  202  </w:t>
      </w:r>
      <w:bookmarkStart w:id="0" w:name="_GoBack"/>
      <w:bookmarkEnd w:id="0"/>
      <w:r>
        <w:rPr>
          <w:rFonts w:hint="eastAsia" w:ascii="仿宋" w:hAnsi="仿宋" w:eastAsia="仿宋"/>
          <w:b/>
          <w:bCs/>
          <w:color w:val="000000" w:themeColor="text1"/>
          <w:sz w:val="24"/>
          <w:szCs w:val="24"/>
          <w:lang w:val="en-US" w:eastAsia="zh-CN"/>
          <w14:textFill>
            <w14:solidFill>
              <w14:schemeClr w14:val="tx1"/>
            </w14:solidFill>
          </w14:textFill>
        </w:rPr>
        <w:t xml:space="preserve"> 年  月    日</w:t>
      </w:r>
    </w:p>
    <w:tbl>
      <w:tblPr>
        <w:tblStyle w:val="2"/>
        <w:tblW w:w="13851" w:type="dxa"/>
        <w:jc w:val="center"/>
        <w:tblLayout w:type="fixed"/>
        <w:tblCellMar>
          <w:top w:w="0" w:type="dxa"/>
          <w:left w:w="108" w:type="dxa"/>
          <w:bottom w:w="0" w:type="dxa"/>
          <w:right w:w="108" w:type="dxa"/>
        </w:tblCellMar>
      </w:tblPr>
      <w:tblGrid>
        <w:gridCol w:w="1369"/>
        <w:gridCol w:w="5851"/>
        <w:gridCol w:w="1523"/>
        <w:gridCol w:w="2713"/>
        <w:gridCol w:w="1470"/>
        <w:gridCol w:w="925"/>
      </w:tblGrid>
      <w:tr>
        <w:tblPrEx>
          <w:tblCellMar>
            <w:top w:w="0" w:type="dxa"/>
            <w:left w:w="108" w:type="dxa"/>
            <w:bottom w:w="0" w:type="dxa"/>
            <w:right w:w="108" w:type="dxa"/>
          </w:tblCellMar>
        </w:tblPrEx>
        <w:trPr>
          <w:trHeight w:val="951"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pStyle w:val="4"/>
              <w:keepNext w:val="0"/>
              <w:keepLines w:val="0"/>
              <w:suppressLineNumbers w:val="0"/>
              <w:spacing w:before="0" w:beforeAutospacing="0" w:after="0" w:afterAutospacing="0"/>
              <w:ind w:left="0" w:right="0"/>
              <w:jc w:val="center"/>
              <w:rPr>
                <w:rFonts w:hint="default"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服务质量标准</w:t>
            </w:r>
          </w:p>
        </w:tc>
        <w:tc>
          <w:tcPr>
            <w:tcW w:w="5851" w:type="dxa"/>
            <w:tcBorders>
              <w:top w:val="single" w:color="auto" w:sz="4" w:space="0"/>
              <w:left w:val="nil"/>
              <w:bottom w:val="single" w:color="auto" w:sz="4" w:space="0"/>
              <w:right w:val="single" w:color="auto" w:sz="4" w:space="0"/>
            </w:tcBorders>
            <w:vAlign w:val="center"/>
          </w:tcPr>
          <w:p>
            <w:pPr>
              <w:pStyle w:val="4"/>
              <w:keepNext w:val="0"/>
              <w:keepLines w:val="0"/>
              <w:suppressLineNumbers w:val="0"/>
              <w:spacing w:before="0" w:beforeAutospacing="0" w:after="0" w:afterAutospacing="0"/>
              <w:ind w:left="0" w:right="0"/>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考核内容</w:t>
            </w:r>
          </w:p>
        </w:tc>
        <w:tc>
          <w:tcPr>
            <w:tcW w:w="1523" w:type="dxa"/>
            <w:tcBorders>
              <w:top w:val="single" w:color="auto" w:sz="4" w:space="0"/>
              <w:left w:val="nil"/>
              <w:bottom w:val="single" w:color="auto" w:sz="4" w:space="0"/>
              <w:right w:val="single" w:color="auto" w:sz="4" w:space="0"/>
            </w:tcBorders>
            <w:vAlign w:val="center"/>
          </w:tcPr>
          <w:p>
            <w:pPr>
              <w:pStyle w:val="4"/>
              <w:keepNext w:val="0"/>
              <w:keepLines w:val="0"/>
              <w:suppressLineNumbers w:val="0"/>
              <w:spacing w:before="0" w:beforeAutospacing="0" w:after="0" w:afterAutospacing="0"/>
              <w:ind w:left="0" w:right="0"/>
              <w:jc w:val="center"/>
              <w:rPr>
                <w:rFonts w:hint="eastAsia" w:ascii="仿宋" w:hAnsi="仿宋" w:eastAsia="仿宋" w:cs="仿宋"/>
                <w:b/>
                <w:bCs/>
                <w:color w:val="000000" w:themeColor="text1"/>
                <w:kern w:val="2"/>
                <w:sz w:val="24"/>
                <w:szCs w:val="24"/>
                <w:lang w:val="en-US" w:eastAsia="zh-CN" w:bidi="ar-SA"/>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分值</w:t>
            </w:r>
          </w:p>
        </w:tc>
        <w:tc>
          <w:tcPr>
            <w:tcW w:w="2713" w:type="dxa"/>
            <w:tcBorders>
              <w:top w:val="single" w:color="auto" w:sz="4" w:space="0"/>
              <w:left w:val="nil"/>
              <w:bottom w:val="single" w:color="auto" w:sz="4" w:space="0"/>
              <w:right w:val="single" w:color="auto" w:sz="4" w:space="0"/>
            </w:tcBorders>
            <w:vAlign w:val="center"/>
          </w:tcPr>
          <w:p>
            <w:pPr>
              <w:pStyle w:val="4"/>
              <w:keepNext w:val="0"/>
              <w:keepLines w:val="0"/>
              <w:suppressLineNumbers w:val="0"/>
              <w:spacing w:before="0" w:beforeAutospacing="0" w:after="0" w:afterAutospacing="0"/>
              <w:ind w:left="0" w:right="0"/>
              <w:jc w:val="center"/>
              <w:rPr>
                <w:rFonts w:hint="eastAsia" w:ascii="仿宋" w:hAnsi="仿宋" w:eastAsia="仿宋" w:cs="仿宋"/>
                <w:b/>
                <w:bCs/>
                <w:color w:val="000000" w:themeColor="text1"/>
                <w:sz w:val="24"/>
                <w:szCs w:val="24"/>
                <w14:textFill>
                  <w14:solidFill>
                    <w14:schemeClr w14:val="tx1"/>
                  </w14:solidFill>
                </w14:textFill>
              </w:rPr>
            </w:pPr>
          </w:p>
          <w:p>
            <w:pPr>
              <w:pStyle w:val="4"/>
              <w:keepNext w:val="0"/>
              <w:keepLines w:val="0"/>
              <w:suppressLineNumbers w:val="0"/>
              <w:spacing w:before="0" w:beforeAutospacing="0" w:after="0" w:afterAutospacing="0"/>
              <w:ind w:left="0" w:right="0"/>
              <w:jc w:val="center"/>
              <w:rPr>
                <w:rFonts w:hint="default"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日常</w:t>
            </w:r>
            <w:r>
              <w:rPr>
                <w:rFonts w:hint="eastAsia" w:ascii="仿宋" w:hAnsi="仿宋" w:eastAsia="仿宋" w:cs="仿宋"/>
                <w:b/>
                <w:bCs/>
                <w:color w:val="000000" w:themeColor="text1"/>
                <w:sz w:val="24"/>
                <w:szCs w:val="24"/>
                <w:lang w:eastAsia="zh-CN"/>
                <w14:textFill>
                  <w14:solidFill>
                    <w14:schemeClr w14:val="tx1"/>
                  </w14:solidFill>
                </w14:textFill>
              </w:rPr>
              <w:t>、</w:t>
            </w:r>
            <w:r>
              <w:rPr>
                <w:rFonts w:hint="eastAsia" w:ascii="仿宋" w:hAnsi="仿宋" w:eastAsia="仿宋" w:cs="仿宋"/>
                <w:b/>
                <w:bCs/>
                <w:color w:val="000000" w:themeColor="text1"/>
                <w:sz w:val="24"/>
                <w:szCs w:val="24"/>
                <w14:textFill>
                  <w14:solidFill>
                    <w14:schemeClr w14:val="tx1"/>
                  </w14:solidFill>
                </w14:textFill>
              </w:rPr>
              <w:t>抽查考核</w:t>
            </w:r>
          </w:p>
          <w:p>
            <w:pPr>
              <w:pStyle w:val="4"/>
              <w:keepNext w:val="0"/>
              <w:keepLines w:val="0"/>
              <w:suppressLineNumbers w:val="0"/>
              <w:spacing w:before="0" w:beforeAutospacing="0" w:after="0" w:afterAutospacing="0"/>
              <w:ind w:left="0" w:right="0"/>
              <w:jc w:val="center"/>
              <w:rPr>
                <w:rFonts w:hint="default"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扣分标准</w:t>
            </w:r>
          </w:p>
          <w:p>
            <w:pPr>
              <w:pStyle w:val="4"/>
              <w:keepNext w:val="0"/>
              <w:keepLines w:val="0"/>
              <w:suppressLineNumbers w:val="0"/>
              <w:spacing w:before="0" w:beforeAutospacing="0" w:after="0" w:afterAutospacing="0"/>
              <w:ind w:left="0" w:right="0"/>
              <w:jc w:val="center"/>
              <w:rPr>
                <w:rFonts w:hint="default" w:ascii="仿宋" w:hAnsi="仿宋" w:eastAsia="仿宋" w:cs="仿宋"/>
                <w:b/>
                <w:bCs/>
                <w:color w:val="000000" w:themeColor="text1"/>
                <w:sz w:val="24"/>
                <w:szCs w:val="24"/>
                <w14:textFill>
                  <w14:solidFill>
                    <w14:schemeClr w14:val="tx1"/>
                  </w14:solidFill>
                </w14:textFill>
              </w:rPr>
            </w:pPr>
          </w:p>
        </w:tc>
        <w:tc>
          <w:tcPr>
            <w:tcW w:w="1470" w:type="dxa"/>
            <w:tcBorders>
              <w:top w:val="single" w:color="auto" w:sz="4" w:space="0"/>
              <w:left w:val="nil"/>
              <w:bottom w:val="single" w:color="auto" w:sz="4" w:space="0"/>
              <w:right w:val="single" w:color="auto" w:sz="4" w:space="0"/>
            </w:tcBorders>
            <w:vAlign w:val="center"/>
          </w:tcPr>
          <w:p>
            <w:pPr>
              <w:pStyle w:val="4"/>
              <w:keepNext w:val="0"/>
              <w:keepLines w:val="0"/>
              <w:suppressLineNumbers w:val="0"/>
              <w:spacing w:before="0" w:beforeAutospacing="0" w:after="0" w:afterAutospacing="0"/>
              <w:ind w:left="0" w:right="0"/>
              <w:jc w:val="center"/>
              <w:rPr>
                <w:rFonts w:hint="eastAsia" w:ascii="仿宋" w:hAnsi="仿宋" w:eastAsia="仿宋" w:cs="仿宋"/>
                <w:b/>
                <w:bCs/>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扣分</w:t>
            </w:r>
            <w:r>
              <w:rPr>
                <w:rFonts w:hint="eastAsia" w:ascii="仿宋" w:hAnsi="仿宋" w:eastAsia="仿宋" w:cs="仿宋"/>
                <w:b/>
                <w:bCs/>
                <w:color w:val="000000" w:themeColor="text1"/>
                <w:sz w:val="24"/>
                <w:szCs w:val="24"/>
                <w:lang w:eastAsia="zh-CN"/>
                <w14:textFill>
                  <w14:solidFill>
                    <w14:schemeClr w14:val="tx1"/>
                  </w14:solidFill>
                </w14:textFill>
              </w:rPr>
              <w:t>项</w:t>
            </w:r>
          </w:p>
        </w:tc>
        <w:tc>
          <w:tcPr>
            <w:tcW w:w="925" w:type="dxa"/>
            <w:tcBorders>
              <w:top w:val="single" w:color="auto" w:sz="4" w:space="0"/>
              <w:left w:val="nil"/>
              <w:bottom w:val="single" w:color="auto" w:sz="4" w:space="0"/>
              <w:right w:val="single" w:color="auto" w:sz="4" w:space="0"/>
            </w:tcBorders>
            <w:vAlign w:val="center"/>
          </w:tcPr>
          <w:p>
            <w:pPr>
              <w:pStyle w:val="4"/>
              <w:keepNext w:val="0"/>
              <w:keepLines w:val="0"/>
              <w:suppressLineNumbers w:val="0"/>
              <w:spacing w:before="0" w:beforeAutospacing="0" w:after="0" w:afterAutospacing="0"/>
              <w:ind w:left="0" w:right="0"/>
              <w:jc w:val="center"/>
              <w:rPr>
                <w:rFonts w:hint="eastAsia" w:ascii="仿宋" w:hAnsi="仿宋" w:eastAsia="仿宋" w:cs="仿宋"/>
                <w:b/>
                <w:bCs/>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合计扣分</w:t>
            </w:r>
          </w:p>
        </w:tc>
      </w:tr>
      <w:tr>
        <w:tblPrEx>
          <w:tblCellMar>
            <w:top w:w="0" w:type="dxa"/>
            <w:left w:w="108" w:type="dxa"/>
            <w:bottom w:w="0" w:type="dxa"/>
            <w:right w:w="108" w:type="dxa"/>
          </w:tblCellMar>
        </w:tblPrEx>
        <w:trPr>
          <w:cantSplit/>
          <w:trHeight w:val="874"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sz w:val="24"/>
                <w:szCs w:val="24"/>
              </w:rPr>
            </w:pPr>
          </w:p>
          <w:p>
            <w:pPr>
              <w:keepNext w:val="0"/>
              <w:keepLines w:val="0"/>
              <w:suppressLineNumbers w:val="0"/>
              <w:spacing w:before="0" w:beforeAutospacing="0" w:after="0" w:afterAutospacing="0"/>
              <w:ind w:left="0" w:right="0"/>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rPr>
              <w:t>仪容仪表</w:t>
            </w:r>
          </w:p>
          <w:p>
            <w:pPr>
              <w:keepNext w:val="0"/>
              <w:keepLines w:val="0"/>
              <w:suppressLineNumbers w:val="0"/>
              <w:spacing w:before="0" w:beforeAutospacing="0" w:after="0" w:afterAutospacing="0"/>
              <w:ind w:left="0" w:right="0" w:firstLine="120" w:firstLineChars="50"/>
              <w:jc w:val="both"/>
              <w:rPr>
                <w:rFonts w:hint="default" w:ascii="仿宋" w:hAnsi="仿宋" w:eastAsia="仿宋" w:cs="仿宋"/>
                <w:kern w:val="0"/>
                <w:sz w:val="24"/>
                <w:szCs w:val="24"/>
              </w:rPr>
            </w:pPr>
          </w:p>
        </w:tc>
        <w:tc>
          <w:tcPr>
            <w:tcW w:w="5851" w:type="dxa"/>
            <w:tcBorders>
              <w:top w:val="single" w:color="auto" w:sz="4" w:space="0"/>
              <w:left w:val="nil"/>
              <w:bottom w:val="single" w:color="auto" w:sz="4" w:space="0"/>
              <w:right w:val="single" w:color="auto" w:sz="4" w:space="0"/>
            </w:tcBorders>
            <w:vAlign w:val="center"/>
          </w:tcPr>
          <w:p>
            <w:pPr>
              <w:keepNext w:val="0"/>
              <w:keepLines w:val="0"/>
              <w:numPr>
                <w:ilvl w:val="0"/>
                <w:numId w:val="0"/>
              </w:numPr>
              <w:suppressLineNumbers w:val="0"/>
              <w:spacing w:before="0" w:beforeAutospacing="0" w:after="0" w:afterAutospacing="0"/>
              <w:ind w:left="0" w:right="0" w:rightChars="0"/>
              <w:jc w:val="both"/>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1、按规定着装，配备装备工具，统一，整洁；</w:t>
            </w:r>
          </w:p>
          <w:p>
            <w:pPr>
              <w:keepNext w:val="0"/>
              <w:keepLines w:val="0"/>
              <w:numPr>
                <w:ilvl w:val="0"/>
                <w:numId w:val="0"/>
              </w:numPr>
              <w:suppressLineNumbers w:val="0"/>
              <w:spacing w:before="0" w:beforeAutospacing="0" w:after="0" w:afterAutospacing="0"/>
              <w:ind w:left="0" w:right="0" w:rightChars="0"/>
              <w:jc w:val="both"/>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2、仪表端正无不良表现；举止文明大方、精神饱满、用语文明；</w:t>
            </w:r>
          </w:p>
          <w:p>
            <w:pPr>
              <w:keepNext w:val="0"/>
              <w:keepLines w:val="0"/>
              <w:numPr>
                <w:ilvl w:val="0"/>
                <w:numId w:val="0"/>
              </w:numPr>
              <w:suppressLineNumbers w:val="0"/>
              <w:spacing w:before="0" w:beforeAutospacing="0" w:after="0" w:afterAutospacing="0"/>
              <w:ind w:left="0" w:right="0" w:rightChars="0"/>
              <w:jc w:val="both"/>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3、服务态度热情、主动、耐心。</w:t>
            </w:r>
          </w:p>
        </w:tc>
        <w:tc>
          <w:tcPr>
            <w:tcW w:w="1523"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15</w:t>
            </w:r>
          </w:p>
        </w:tc>
        <w:tc>
          <w:tcPr>
            <w:tcW w:w="2713" w:type="dxa"/>
            <w:vMerge w:val="restart"/>
            <w:tcBorders>
              <w:top w:val="single" w:color="auto" w:sz="4" w:space="0"/>
              <w:left w:val="nil"/>
              <w:right w:val="single" w:color="auto" w:sz="4" w:space="0"/>
            </w:tcBorders>
            <w:vAlign w:val="center"/>
          </w:tcPr>
          <w:p>
            <w:pPr>
              <w:keepNext w:val="0"/>
              <w:keepLines w:val="0"/>
              <w:suppressLineNumbers w:val="0"/>
              <w:spacing w:before="0" w:beforeAutospacing="0" w:after="0" w:afterAutospacing="0"/>
              <w:ind w:left="0" w:right="0" w:firstLine="480" w:firstLineChars="200"/>
              <w:jc w:val="left"/>
              <w:rPr>
                <w:rFonts w:hint="eastAsia" w:ascii="仿宋" w:hAnsi="仿宋" w:eastAsia="仿宋" w:cs="仿宋"/>
                <w:color w:val="000000" w:themeColor="text1"/>
                <w:sz w:val="24"/>
                <w:szCs w:val="24"/>
                <w:lang w:val="en-US" w:eastAsia="zh-CN"/>
                <w14:textFill>
                  <w14:solidFill>
                    <w14:schemeClr w14:val="tx1"/>
                  </w14:solidFill>
                </w14:textFill>
              </w:rPr>
            </w:pPr>
          </w:p>
          <w:p>
            <w:pPr>
              <w:keepNext w:val="0"/>
              <w:keepLines w:val="0"/>
              <w:suppressLineNumbers w:val="0"/>
              <w:spacing w:before="0" w:beforeAutospacing="0" w:after="0" w:afterAutospacing="0"/>
              <w:ind w:left="0" w:right="0" w:firstLine="480" w:firstLineChars="200"/>
              <w:jc w:val="left"/>
              <w:rPr>
                <w:rFonts w:hint="eastAsia" w:ascii="仿宋" w:hAnsi="仿宋" w:eastAsia="仿宋" w:cs="仿宋"/>
                <w:color w:val="000000" w:themeColor="text1"/>
                <w:sz w:val="24"/>
                <w:szCs w:val="24"/>
                <w:lang w:val="en-US" w:eastAsia="zh-CN"/>
                <w14:textFill>
                  <w14:solidFill>
                    <w14:schemeClr w14:val="tx1"/>
                  </w14:solidFill>
                </w14:textFill>
              </w:rPr>
            </w:pPr>
          </w:p>
          <w:p>
            <w:pPr>
              <w:keepNext w:val="0"/>
              <w:keepLines w:val="0"/>
              <w:suppressLineNumbers w:val="0"/>
              <w:spacing w:before="0" w:beforeAutospacing="0" w:after="0" w:afterAutospacing="0"/>
              <w:ind w:left="0" w:right="0" w:firstLine="480" w:firstLineChars="200"/>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当月日常考核扣款累计总金额以阶梯方式计算：达到500元（250元-750元）的扣1分;达到1000元（760元-1250元）的扣2分；1500元（1260元-1750元）的扣3分；2000元（1760元-2250元）扣4分;以此类推。当月被单位领导检查每发现一项问题扣2分；当月被上级局领导或部门检查每发现一项问题扣3分；当月被社会媒体曝光的，造成不良影响的每次扣5分；相同问题2个月内出现3次（含3次）以上的两倍处罚；以上扣罚项目累加计算。</w:t>
            </w:r>
          </w:p>
          <w:p>
            <w:pPr>
              <w:keepNext w:val="0"/>
              <w:keepLines w:val="0"/>
              <w:suppressLineNumbers w:val="0"/>
              <w:spacing w:before="0" w:beforeAutospacing="0" w:after="0" w:afterAutospacing="0"/>
              <w:ind w:left="0" w:right="0" w:firstLine="480" w:firstLineChars="200"/>
              <w:jc w:val="left"/>
              <w:rPr>
                <w:rFonts w:hint="eastAsia" w:ascii="仿宋" w:hAnsi="仿宋" w:eastAsia="仿宋" w:cs="仿宋"/>
                <w:color w:val="000000" w:themeColor="text1"/>
                <w:sz w:val="24"/>
                <w:szCs w:val="24"/>
                <w:lang w:val="en-US" w:eastAsia="zh-CN"/>
                <w14:textFill>
                  <w14:solidFill>
                    <w14:schemeClr w14:val="tx1"/>
                  </w14:solidFill>
                </w14:textFill>
              </w:rPr>
            </w:pPr>
          </w:p>
          <w:p>
            <w:pPr>
              <w:keepNext w:val="0"/>
              <w:keepLines w:val="0"/>
              <w:suppressLineNumbers w:val="0"/>
              <w:spacing w:before="0" w:beforeAutospacing="0" w:after="0" w:afterAutospacing="0"/>
              <w:ind w:left="0" w:right="0" w:firstLine="480" w:firstLineChars="200"/>
              <w:jc w:val="left"/>
              <w:rPr>
                <w:rFonts w:hint="eastAsia" w:ascii="仿宋" w:hAnsi="仿宋" w:eastAsia="仿宋" w:cs="仿宋"/>
                <w:color w:val="000000" w:themeColor="text1"/>
                <w:sz w:val="24"/>
                <w:szCs w:val="24"/>
                <w:lang w:val="en-US" w:eastAsia="zh-CN"/>
                <w14:textFill>
                  <w14:solidFill>
                    <w14:schemeClr w14:val="tx1"/>
                  </w14:solidFill>
                </w14:textFill>
              </w:rPr>
            </w:pPr>
          </w:p>
          <w:p>
            <w:pPr>
              <w:keepNext w:val="0"/>
              <w:keepLines w:val="0"/>
              <w:suppressLineNumbers w:val="0"/>
              <w:spacing w:before="0" w:beforeAutospacing="0" w:after="0" w:afterAutospacing="0"/>
              <w:ind w:left="0" w:right="0" w:firstLine="480" w:firstLineChars="200"/>
              <w:jc w:val="left"/>
              <w:rPr>
                <w:rFonts w:hint="eastAsia" w:ascii="仿宋" w:hAnsi="仿宋" w:eastAsia="仿宋" w:cs="仿宋"/>
                <w:color w:val="000000" w:themeColor="text1"/>
                <w:sz w:val="24"/>
                <w:szCs w:val="24"/>
                <w:lang w:val="en-US" w:eastAsia="zh-CN"/>
                <w14:textFill>
                  <w14:solidFill>
                    <w14:schemeClr w14:val="tx1"/>
                  </w14:solidFill>
                </w14:textFill>
              </w:rPr>
            </w:pPr>
          </w:p>
          <w:p>
            <w:pPr>
              <w:keepNext w:val="0"/>
              <w:keepLines w:val="0"/>
              <w:suppressLineNumbers w:val="0"/>
              <w:spacing w:before="0" w:beforeAutospacing="0" w:after="0" w:afterAutospacing="0"/>
              <w:ind w:left="0" w:right="0" w:firstLine="480" w:firstLineChars="200"/>
              <w:jc w:val="left"/>
              <w:rPr>
                <w:rFonts w:hint="eastAsia" w:ascii="仿宋" w:hAnsi="仿宋" w:eastAsia="仿宋" w:cs="仿宋"/>
                <w:color w:val="000000" w:themeColor="text1"/>
                <w:sz w:val="24"/>
                <w:szCs w:val="24"/>
                <w:lang w:val="en-US" w:eastAsia="zh-CN"/>
                <w14:textFill>
                  <w14:solidFill>
                    <w14:schemeClr w14:val="tx1"/>
                  </w14:solidFill>
                </w14:textFill>
              </w:rPr>
            </w:pPr>
          </w:p>
          <w:p>
            <w:pPr>
              <w:keepNext w:val="0"/>
              <w:keepLines w:val="0"/>
              <w:suppressLineNumbers w:val="0"/>
              <w:spacing w:before="0" w:beforeAutospacing="0" w:after="0" w:afterAutospacing="0"/>
              <w:ind w:left="0" w:right="0" w:firstLine="480" w:firstLineChars="200"/>
              <w:jc w:val="left"/>
              <w:rPr>
                <w:rFonts w:hint="eastAsia" w:ascii="仿宋" w:hAnsi="仿宋" w:eastAsia="仿宋" w:cs="仿宋"/>
                <w:color w:val="000000" w:themeColor="text1"/>
                <w:sz w:val="24"/>
                <w:szCs w:val="24"/>
                <w:lang w:val="en-US" w:eastAsia="zh-CN"/>
                <w14:textFill>
                  <w14:solidFill>
                    <w14:schemeClr w14:val="tx1"/>
                  </w14:solidFill>
                </w14:textFill>
              </w:rPr>
            </w:pPr>
          </w:p>
          <w:p>
            <w:pPr>
              <w:keepNext w:val="0"/>
              <w:keepLines w:val="0"/>
              <w:suppressLineNumbers w:val="0"/>
              <w:spacing w:before="0" w:beforeAutospacing="0" w:after="0" w:afterAutospacing="0"/>
              <w:ind w:left="0" w:right="0" w:firstLine="480" w:firstLineChars="200"/>
              <w:jc w:val="left"/>
              <w:rPr>
                <w:rFonts w:hint="eastAsia" w:ascii="仿宋" w:hAnsi="仿宋" w:eastAsia="仿宋" w:cs="仿宋"/>
                <w:color w:val="000000" w:themeColor="text1"/>
                <w:sz w:val="24"/>
                <w:szCs w:val="24"/>
                <w:lang w:val="en-US" w:eastAsia="zh-CN"/>
                <w14:textFill>
                  <w14:solidFill>
                    <w14:schemeClr w14:val="tx1"/>
                  </w14:solidFill>
                </w14:textFill>
              </w:rPr>
            </w:pPr>
          </w:p>
          <w:p>
            <w:pPr>
              <w:keepNext w:val="0"/>
              <w:keepLines w:val="0"/>
              <w:suppressLineNumbers w:val="0"/>
              <w:spacing w:before="0" w:beforeAutospacing="0" w:after="0" w:afterAutospacing="0"/>
              <w:ind w:left="0" w:right="0" w:firstLine="480" w:firstLineChars="200"/>
              <w:jc w:val="left"/>
              <w:rPr>
                <w:rFonts w:hint="eastAsia" w:ascii="仿宋" w:hAnsi="仿宋" w:eastAsia="仿宋" w:cs="仿宋"/>
                <w:kern w:val="0"/>
                <w:sz w:val="24"/>
                <w:szCs w:val="24"/>
                <w:lang w:val="en-US" w:eastAsia="zh-CN"/>
              </w:rPr>
            </w:pPr>
            <w:r>
              <w:rPr>
                <w:rFonts w:hint="eastAsia" w:ascii="仿宋" w:hAnsi="仿宋" w:eastAsia="仿宋" w:cs="仿宋"/>
                <w:color w:val="000000" w:themeColor="text1"/>
                <w:sz w:val="24"/>
                <w:szCs w:val="24"/>
                <w:lang w:val="en-US" w:eastAsia="zh-CN"/>
                <w14:textFill>
                  <w14:solidFill>
                    <w14:schemeClr w14:val="tx1"/>
                  </w14:solidFill>
                </w14:textFill>
              </w:rPr>
              <w:t>当月日常考核扣款累计总金额以阶梯方式计算：达到500元（250元-750元）的扣1分;达到1000元（760元-1250元）的扣2分；1500元（1260元-1750元）的扣3分；2000元（1760元-2250元）扣4分;以此类推。当月被单位领导检查每发现一项问题扣2分；当月被上级局领导或部门检查每发现一项问题扣3分；当月被社会媒体曝光的，造成不良影响的每次扣5分；相同问题2个月内出现3次（含3次）以上的两倍处罚；以上扣罚项目累加计算。</w:t>
            </w:r>
          </w:p>
          <w:p>
            <w:pPr>
              <w:keepNext w:val="0"/>
              <w:keepLines w:val="0"/>
              <w:suppressLineNumbers w:val="0"/>
              <w:spacing w:before="0" w:beforeAutospacing="0" w:after="0" w:afterAutospacing="0"/>
              <w:ind w:left="0" w:right="0"/>
              <w:jc w:val="left"/>
              <w:rPr>
                <w:rFonts w:hint="eastAsia" w:ascii="仿宋" w:hAnsi="仿宋" w:eastAsia="仿宋" w:cs="仿宋"/>
                <w:kern w:val="0"/>
                <w:sz w:val="24"/>
                <w:szCs w:val="24"/>
                <w:lang w:val="en-US" w:eastAsia="zh-CN"/>
              </w:rPr>
            </w:pPr>
          </w:p>
        </w:tc>
        <w:tc>
          <w:tcPr>
            <w:tcW w:w="147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kern w:val="0"/>
                <w:sz w:val="24"/>
                <w:szCs w:val="24"/>
              </w:rPr>
            </w:pPr>
          </w:p>
        </w:tc>
        <w:tc>
          <w:tcPr>
            <w:tcW w:w="925"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tblPrEx>
          <w:tblCellMar>
            <w:top w:w="0" w:type="dxa"/>
            <w:left w:w="108" w:type="dxa"/>
            <w:bottom w:w="0" w:type="dxa"/>
            <w:right w:w="108" w:type="dxa"/>
          </w:tblCellMar>
        </w:tblPrEx>
        <w:trPr>
          <w:trHeight w:val="1125"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120" w:firstLineChars="50"/>
              <w:jc w:val="center"/>
              <w:rPr>
                <w:rFonts w:hint="default" w:ascii="仿宋" w:hAnsi="仿宋" w:eastAsia="仿宋" w:cs="仿宋"/>
                <w:sz w:val="24"/>
                <w:szCs w:val="24"/>
              </w:rPr>
            </w:pPr>
          </w:p>
          <w:p>
            <w:pPr>
              <w:keepNext w:val="0"/>
              <w:keepLines w:val="0"/>
              <w:suppressLineNumbers w:val="0"/>
              <w:spacing w:before="0" w:beforeAutospacing="0" w:after="0" w:afterAutospacing="0"/>
              <w:ind w:left="0" w:right="0"/>
              <w:jc w:val="center"/>
              <w:rPr>
                <w:rFonts w:hint="default" w:ascii="仿宋" w:hAnsi="仿宋" w:eastAsia="仿宋" w:cs="仿宋"/>
                <w:kern w:val="0"/>
                <w:sz w:val="24"/>
                <w:szCs w:val="24"/>
              </w:rPr>
            </w:pPr>
            <w:r>
              <w:rPr>
                <w:rFonts w:hint="eastAsia" w:ascii="仿宋" w:hAnsi="仿宋" w:eastAsia="仿宋" w:cs="仿宋"/>
                <w:b/>
                <w:bCs/>
                <w:sz w:val="24"/>
                <w:szCs w:val="24"/>
              </w:rPr>
              <w:t>工作纪律</w:t>
            </w:r>
            <w:r>
              <w:rPr>
                <w:rFonts w:hint="eastAsia" w:ascii="仿宋" w:hAnsi="仿宋" w:eastAsia="仿宋" w:cs="仿宋"/>
                <w:b/>
                <w:bCs/>
                <w:sz w:val="24"/>
                <w:szCs w:val="24"/>
                <w:lang w:val="en-US" w:eastAsia="zh-CN"/>
              </w:rPr>
              <w:t>及安全生产工作资料归整情况</w:t>
            </w:r>
          </w:p>
        </w:tc>
        <w:tc>
          <w:tcPr>
            <w:tcW w:w="5851" w:type="dxa"/>
            <w:tcBorders>
              <w:top w:val="single" w:color="auto" w:sz="4" w:space="0"/>
              <w:left w:val="nil"/>
              <w:bottom w:val="single" w:color="auto" w:sz="4" w:space="0"/>
              <w:right w:val="single" w:color="auto" w:sz="4" w:space="0"/>
            </w:tcBorders>
            <w:vAlign w:val="center"/>
          </w:tcPr>
          <w:p>
            <w:pPr>
              <w:keepNext w:val="0"/>
              <w:keepLines w:val="0"/>
              <w:numPr>
                <w:ilvl w:val="0"/>
                <w:numId w:val="0"/>
              </w:numPr>
              <w:suppressLineNumbers w:val="0"/>
              <w:spacing w:before="0" w:beforeAutospacing="0" w:after="0" w:afterAutospacing="0"/>
              <w:ind w:left="0" w:right="0" w:rightChars="0"/>
              <w:jc w:val="both"/>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1、按规定实施请销假制度；不得擅自休假、调班、换岗、串岗、脱岗；按规定时间上下班、不迟到、早退，按流程交接；</w:t>
            </w:r>
          </w:p>
          <w:p>
            <w:pPr>
              <w:keepNext w:val="0"/>
              <w:keepLines w:val="0"/>
              <w:numPr>
                <w:ilvl w:val="0"/>
                <w:numId w:val="0"/>
              </w:numPr>
              <w:suppressLineNumbers w:val="0"/>
              <w:spacing w:before="0" w:beforeAutospacing="0" w:after="0" w:afterAutospacing="0"/>
              <w:ind w:left="0" w:right="0" w:rightChars="0"/>
              <w:jc w:val="both"/>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2、工作期间不出现串岗、脱岗、偷懒、酒后上岗等违反劳动纪律，在岗期间不得大声喧哗、集众聊天、玩手机，不做与工作无关的事情；</w:t>
            </w:r>
          </w:p>
          <w:p>
            <w:pPr>
              <w:keepNext w:val="0"/>
              <w:keepLines w:val="0"/>
              <w:numPr>
                <w:ilvl w:val="0"/>
                <w:numId w:val="0"/>
              </w:numPr>
              <w:suppressLineNumbers w:val="0"/>
              <w:spacing w:before="0" w:beforeAutospacing="0" w:after="0" w:afterAutospacing="0"/>
              <w:ind w:left="0" w:right="0" w:rightChars="0"/>
              <w:jc w:val="both"/>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3、遵守业主及外包方的管理规定，严禁违法安全规章制度。</w:t>
            </w:r>
          </w:p>
        </w:tc>
        <w:tc>
          <w:tcPr>
            <w:tcW w:w="1523"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15</w:t>
            </w:r>
          </w:p>
        </w:tc>
        <w:tc>
          <w:tcPr>
            <w:tcW w:w="2713" w:type="dxa"/>
            <w:vMerge w:val="continue"/>
            <w:tcBorders>
              <w:left w:val="nil"/>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kern w:val="0"/>
                <w:sz w:val="24"/>
                <w:szCs w:val="24"/>
              </w:rPr>
            </w:pPr>
          </w:p>
        </w:tc>
        <w:tc>
          <w:tcPr>
            <w:tcW w:w="147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kern w:val="0"/>
                <w:sz w:val="24"/>
                <w:szCs w:val="24"/>
              </w:rPr>
            </w:pPr>
          </w:p>
        </w:tc>
        <w:tc>
          <w:tcPr>
            <w:tcW w:w="925"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tblPrEx>
          <w:tblCellMar>
            <w:top w:w="0" w:type="dxa"/>
            <w:left w:w="108" w:type="dxa"/>
            <w:bottom w:w="0" w:type="dxa"/>
            <w:right w:w="108" w:type="dxa"/>
          </w:tblCellMar>
        </w:tblPrEx>
        <w:trPr>
          <w:trHeight w:val="1334"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4"/>
                <w:szCs w:val="24"/>
              </w:rPr>
            </w:pPr>
          </w:p>
          <w:p>
            <w:pPr>
              <w:keepNext w:val="0"/>
              <w:keepLines w:val="0"/>
              <w:suppressLineNumbers w:val="0"/>
              <w:spacing w:before="0" w:beforeAutospacing="0" w:after="0" w:afterAutospacing="0"/>
              <w:ind w:left="0" w:right="0"/>
              <w:jc w:val="center"/>
              <w:rPr>
                <w:rFonts w:hint="default" w:ascii="仿宋" w:hAnsi="仿宋" w:eastAsia="仿宋" w:cs="仿宋"/>
                <w:b/>
                <w:bCs/>
                <w:sz w:val="24"/>
                <w:szCs w:val="24"/>
              </w:rPr>
            </w:pPr>
          </w:p>
          <w:p>
            <w:pPr>
              <w:keepNext w:val="0"/>
              <w:keepLines w:val="0"/>
              <w:suppressLineNumbers w:val="0"/>
              <w:spacing w:before="0" w:beforeAutospacing="0" w:after="0" w:afterAutospacing="0"/>
              <w:ind w:left="0" w:right="0"/>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执勤规范</w:t>
            </w:r>
          </w:p>
          <w:p>
            <w:pPr>
              <w:keepNext w:val="0"/>
              <w:keepLines w:val="0"/>
              <w:suppressLineNumbers w:val="0"/>
              <w:spacing w:before="0" w:beforeAutospacing="0" w:after="0" w:afterAutospacing="0"/>
              <w:ind w:left="0" w:right="0"/>
              <w:jc w:val="left"/>
              <w:rPr>
                <w:rFonts w:hint="default" w:ascii="仿宋" w:hAnsi="仿宋" w:eastAsia="仿宋" w:cs="仿宋"/>
                <w:kern w:val="0"/>
                <w:sz w:val="24"/>
                <w:szCs w:val="24"/>
              </w:rPr>
            </w:pPr>
          </w:p>
        </w:tc>
        <w:tc>
          <w:tcPr>
            <w:tcW w:w="5851" w:type="dxa"/>
            <w:tcBorders>
              <w:top w:val="single" w:color="auto" w:sz="4" w:space="0"/>
              <w:left w:val="nil"/>
              <w:bottom w:val="single" w:color="auto" w:sz="4" w:space="0"/>
              <w:right w:val="single" w:color="auto" w:sz="4" w:space="0"/>
            </w:tcBorders>
            <w:vAlign w:val="center"/>
          </w:tcPr>
          <w:p>
            <w:pPr>
              <w:keepNext w:val="0"/>
              <w:keepLines w:val="0"/>
              <w:numPr>
                <w:ilvl w:val="0"/>
                <w:numId w:val="0"/>
              </w:numPr>
              <w:suppressLineNumbers w:val="0"/>
              <w:spacing w:before="0" w:beforeAutospacing="0" w:after="0" w:afterAutospacing="0" w:line="240" w:lineRule="auto"/>
              <w:ind w:left="0" w:right="0" w:rightChars="0"/>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1、服从指挥、服务符合规范，能起到安保秩序维护效果；</w:t>
            </w:r>
          </w:p>
          <w:p>
            <w:pPr>
              <w:keepNext w:val="0"/>
              <w:keepLines w:val="0"/>
              <w:numPr>
                <w:ilvl w:val="0"/>
                <w:numId w:val="0"/>
              </w:numPr>
              <w:suppressLineNumbers w:val="0"/>
              <w:spacing w:before="0" w:beforeAutospacing="0" w:after="0" w:afterAutospacing="0" w:line="240" w:lineRule="auto"/>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2、能按规定时间、流程在岗执勤，主动汇报工作相关事宜，规范处置；</w:t>
            </w:r>
          </w:p>
          <w:p>
            <w:pPr>
              <w:keepNext w:val="0"/>
              <w:keepLines w:val="0"/>
              <w:numPr>
                <w:ilvl w:val="0"/>
                <w:numId w:val="0"/>
              </w:numPr>
              <w:suppressLineNumbers w:val="0"/>
              <w:spacing w:before="0" w:beforeAutospacing="0" w:after="0" w:afterAutospacing="0" w:line="240" w:lineRule="auto"/>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3、人员及车辆进出按规定登记、指挥、放行，并有来访登记，严查大件物品、危险品等；</w:t>
            </w:r>
          </w:p>
          <w:p>
            <w:pPr>
              <w:keepNext w:val="0"/>
              <w:keepLines w:val="0"/>
              <w:numPr>
                <w:ilvl w:val="0"/>
                <w:numId w:val="0"/>
              </w:numPr>
              <w:suppressLineNumbers w:val="0"/>
              <w:spacing w:before="0" w:beforeAutospacing="0" w:after="0" w:afterAutospacing="0" w:line="240" w:lineRule="auto"/>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4、固定岗位24小时要有专人专业值守，如有可疑、突发情况可做到及时报知、跟踪、处理和记录；</w:t>
            </w:r>
          </w:p>
          <w:p>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5、巡逻岗按规定班次进行，及时有效地检查设施设备，上报并处理紧急问题，并做好巡查记录。</w:t>
            </w:r>
          </w:p>
          <w:p>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6、交接班、来访登记、巡逻登记等所有服务记录均有迹可循，且有效真实。</w:t>
            </w:r>
          </w:p>
          <w:p>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7、各种紧急突发情况报告及时、处理正确。</w:t>
            </w:r>
          </w:p>
          <w:p>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8、操作流程规范，完善，责任到人；有完善的档案、台帐和维护规定。</w:t>
            </w:r>
          </w:p>
          <w:p>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9、按时检查设备设施，清点交接，做好交接记录，做好台帐，规范管理。</w:t>
            </w:r>
          </w:p>
        </w:tc>
        <w:tc>
          <w:tcPr>
            <w:tcW w:w="1523"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15</w:t>
            </w:r>
          </w:p>
        </w:tc>
        <w:tc>
          <w:tcPr>
            <w:tcW w:w="2713" w:type="dxa"/>
            <w:vMerge w:val="continue"/>
            <w:tcBorders>
              <w:left w:val="nil"/>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kern w:val="0"/>
                <w:sz w:val="24"/>
                <w:szCs w:val="24"/>
              </w:rPr>
            </w:pPr>
          </w:p>
        </w:tc>
        <w:tc>
          <w:tcPr>
            <w:tcW w:w="147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kern w:val="0"/>
                <w:sz w:val="24"/>
                <w:szCs w:val="24"/>
              </w:rPr>
            </w:pPr>
          </w:p>
        </w:tc>
        <w:tc>
          <w:tcPr>
            <w:tcW w:w="925"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tblPrEx>
          <w:tblCellMar>
            <w:top w:w="0" w:type="dxa"/>
            <w:left w:w="108" w:type="dxa"/>
            <w:bottom w:w="0" w:type="dxa"/>
            <w:right w:w="108" w:type="dxa"/>
          </w:tblCellMar>
        </w:tblPrEx>
        <w:trPr>
          <w:trHeight w:val="1034"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kern w:val="0"/>
                <w:sz w:val="24"/>
                <w:szCs w:val="24"/>
                <w:lang w:val="en-US" w:eastAsia="zh-CN"/>
              </w:rPr>
            </w:pPr>
            <w:r>
              <w:rPr>
                <w:rFonts w:hint="eastAsia" w:ascii="仿宋" w:hAnsi="仿宋" w:eastAsia="仿宋" w:cs="仿宋"/>
                <w:b/>
                <w:bCs/>
                <w:kern w:val="0"/>
                <w:sz w:val="24"/>
                <w:szCs w:val="24"/>
                <w:lang w:val="en-US" w:eastAsia="zh-CN"/>
              </w:rPr>
              <w:t>投诉与反馈</w:t>
            </w:r>
          </w:p>
        </w:tc>
        <w:tc>
          <w:tcPr>
            <w:tcW w:w="5851" w:type="dxa"/>
            <w:tcBorders>
              <w:top w:val="single" w:color="auto" w:sz="4" w:space="0"/>
              <w:left w:val="nil"/>
              <w:bottom w:val="single" w:color="auto" w:sz="4" w:space="0"/>
              <w:right w:val="single" w:color="auto" w:sz="4" w:space="0"/>
            </w:tcBorders>
            <w:vAlign w:val="center"/>
          </w:tcPr>
          <w:p>
            <w:pPr>
              <w:keepNext w:val="0"/>
              <w:keepLines w:val="0"/>
              <w:numPr>
                <w:ilvl w:val="0"/>
                <w:numId w:val="0"/>
              </w:numPr>
              <w:suppressLineNumbers w:val="0"/>
              <w:spacing w:before="0" w:beforeAutospacing="0" w:after="0" w:afterAutospacing="0"/>
              <w:ind w:left="0" w:right="0" w:rightChars="0"/>
              <w:jc w:val="left"/>
              <w:rPr>
                <w:rFonts w:hint="eastAsia"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1、每次收到投诉且处理不及时、整改不到位。</w:t>
            </w:r>
          </w:p>
          <w:p>
            <w:pPr>
              <w:keepNext w:val="0"/>
              <w:keepLines w:val="0"/>
              <w:numPr>
                <w:ilvl w:val="0"/>
                <w:numId w:val="0"/>
              </w:numPr>
              <w:suppressLineNumbers w:val="0"/>
              <w:spacing w:before="0" w:beforeAutospacing="0" w:after="0" w:afterAutospacing="0"/>
              <w:ind w:left="0" w:right="0" w:rightChars="0"/>
              <w:jc w:val="left"/>
              <w:rPr>
                <w:rFonts w:hint="eastAsia"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2、违反管理规定且未及时整改到位。</w:t>
            </w:r>
          </w:p>
          <w:p>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3、与游客发生口角或产生肢体冲突的。</w:t>
            </w:r>
          </w:p>
          <w:p>
            <w:pPr>
              <w:keepNext w:val="0"/>
              <w:keepLines w:val="0"/>
              <w:numPr>
                <w:ilvl w:val="0"/>
                <w:numId w:val="0"/>
              </w:numPr>
              <w:suppressLineNumbers w:val="0"/>
              <w:spacing w:before="0" w:beforeAutospacing="0" w:after="0" w:afterAutospacing="0"/>
              <w:ind w:left="0" w:right="0" w:rightChars="0"/>
              <w:jc w:val="left"/>
              <w:rPr>
                <w:rFonts w:hint="eastAsia"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4、游客提出投诉或因安保人员失职造成单位重要物品及财物损失的。</w:t>
            </w:r>
          </w:p>
          <w:p>
            <w:pPr>
              <w:keepNext w:val="0"/>
              <w:keepLines w:val="0"/>
              <w:numPr>
                <w:ilvl w:val="0"/>
                <w:numId w:val="0"/>
              </w:numPr>
              <w:suppressLineNumbers w:val="0"/>
              <w:spacing w:before="0" w:beforeAutospacing="0" w:after="0" w:afterAutospacing="0"/>
              <w:ind w:left="0" w:leftChars="0" w:right="0" w:rightChars="0" w:firstLine="0" w:firstLineChars="0"/>
              <w:jc w:val="left"/>
              <w:rPr>
                <w:rFonts w:hint="default"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5、被各级领导或部门明察暗访检查发现问题点名批评，或被媒体曝光的，造成不良影响的。</w:t>
            </w:r>
          </w:p>
        </w:tc>
        <w:tc>
          <w:tcPr>
            <w:tcW w:w="1523"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kern w:val="0"/>
                <w:sz w:val="24"/>
                <w:szCs w:val="24"/>
                <w:lang w:val="en-US" w:eastAsia="zh-CN" w:bidi="ar-SA"/>
              </w:rPr>
            </w:pPr>
            <w:r>
              <w:rPr>
                <w:rFonts w:hint="eastAsia" w:ascii="仿宋" w:hAnsi="仿宋" w:eastAsia="仿宋" w:cs="仿宋"/>
                <w:b w:val="0"/>
                <w:bCs w:val="0"/>
                <w:kern w:val="0"/>
                <w:sz w:val="24"/>
                <w:szCs w:val="24"/>
                <w:lang w:val="en-US" w:eastAsia="zh-CN"/>
              </w:rPr>
              <w:t>15</w:t>
            </w:r>
          </w:p>
        </w:tc>
        <w:tc>
          <w:tcPr>
            <w:tcW w:w="2713" w:type="dxa"/>
            <w:vMerge w:val="continue"/>
            <w:tcBorders>
              <w:left w:val="nil"/>
              <w:right w:val="single" w:color="auto" w:sz="4" w:space="0"/>
            </w:tcBorders>
            <w:vAlign w:val="center"/>
          </w:tcPr>
          <w:p>
            <w:pPr>
              <w:keepNext w:val="0"/>
              <w:keepLines w:val="0"/>
              <w:suppressLineNumbers w:val="0"/>
              <w:spacing w:before="0" w:beforeAutospacing="0" w:after="0" w:afterAutospacing="0"/>
              <w:ind w:left="0" w:right="0"/>
              <w:jc w:val="left"/>
              <w:rPr>
                <w:rFonts w:hint="eastAsia" w:ascii="仿宋" w:hAnsi="仿宋" w:eastAsia="仿宋" w:cs="仿宋"/>
                <w:kern w:val="0"/>
                <w:sz w:val="24"/>
                <w:szCs w:val="24"/>
                <w:lang w:val="en-US" w:eastAsia="zh-CN" w:bidi="ar-SA"/>
              </w:rPr>
            </w:pPr>
          </w:p>
        </w:tc>
        <w:tc>
          <w:tcPr>
            <w:tcW w:w="147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eastAsia" w:ascii="仿宋" w:hAnsi="仿宋" w:eastAsia="仿宋" w:cs="仿宋"/>
                <w:kern w:val="0"/>
                <w:sz w:val="24"/>
                <w:szCs w:val="24"/>
                <w:lang w:val="en-US" w:eastAsia="zh-CN" w:bidi="ar-SA"/>
              </w:rPr>
            </w:pPr>
          </w:p>
        </w:tc>
        <w:tc>
          <w:tcPr>
            <w:tcW w:w="925"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tblPrEx>
          <w:tblCellMar>
            <w:top w:w="0" w:type="dxa"/>
            <w:left w:w="108" w:type="dxa"/>
            <w:bottom w:w="0" w:type="dxa"/>
            <w:right w:w="108" w:type="dxa"/>
          </w:tblCellMar>
        </w:tblPrEx>
        <w:trPr>
          <w:trHeight w:val="494"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sz w:val="24"/>
                <w:szCs w:val="24"/>
              </w:rPr>
            </w:pPr>
            <w:r>
              <w:rPr>
                <w:rFonts w:hint="eastAsia" w:ascii="仿宋" w:hAnsi="仿宋" w:eastAsia="仿宋" w:cs="仿宋"/>
                <w:b/>
                <w:bCs/>
                <w:sz w:val="24"/>
                <w:szCs w:val="24"/>
                <w:lang w:val="en-US" w:eastAsia="zh-CN"/>
              </w:rPr>
              <w:t>人员管理及</w:t>
            </w:r>
            <w:r>
              <w:rPr>
                <w:rFonts w:hint="eastAsia" w:ascii="仿宋" w:hAnsi="仿宋" w:eastAsia="仿宋" w:cs="仿宋"/>
                <w:b/>
                <w:bCs/>
                <w:sz w:val="24"/>
                <w:szCs w:val="24"/>
              </w:rPr>
              <w:t>劳动关系</w:t>
            </w:r>
          </w:p>
          <w:p>
            <w:pPr>
              <w:keepNext w:val="0"/>
              <w:keepLines w:val="0"/>
              <w:suppressLineNumbers w:val="0"/>
              <w:spacing w:before="0" w:beforeAutospacing="0" w:after="0" w:afterAutospacing="0"/>
              <w:ind w:left="0" w:right="0"/>
              <w:jc w:val="left"/>
              <w:rPr>
                <w:rFonts w:hint="default" w:ascii="仿宋" w:hAnsi="仿宋" w:eastAsia="仿宋" w:cs="仿宋"/>
                <w:kern w:val="0"/>
                <w:sz w:val="24"/>
                <w:szCs w:val="24"/>
              </w:rPr>
            </w:pPr>
          </w:p>
        </w:tc>
        <w:tc>
          <w:tcPr>
            <w:tcW w:w="5851" w:type="dxa"/>
            <w:tcBorders>
              <w:top w:val="single" w:color="auto" w:sz="4" w:space="0"/>
              <w:left w:val="nil"/>
              <w:bottom w:val="single" w:color="auto" w:sz="4" w:space="0"/>
              <w:right w:val="single" w:color="auto" w:sz="4" w:space="0"/>
            </w:tcBorders>
            <w:vAlign w:val="center"/>
          </w:tcPr>
          <w:p>
            <w:pPr>
              <w:keepNext w:val="0"/>
              <w:keepLines w:val="0"/>
              <w:numPr>
                <w:ilvl w:val="0"/>
                <w:numId w:val="0"/>
              </w:numPr>
              <w:suppressLineNumbers w:val="0"/>
              <w:spacing w:before="0" w:beforeAutospacing="0" w:after="0" w:afterAutospacing="0"/>
              <w:ind w:left="0" w:right="0" w:rightChars="0"/>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1、人员基本条件符合服务合同要求。              2、做好人员上岗培训、日常培训及专业技能培训等相关培训工作，使员工具备一定的安保、消防等必备技能知识，并持证上岗；消控室等特殊岗位还须根据要求持有相关证书。</w:t>
            </w:r>
          </w:p>
          <w:p>
            <w:pPr>
              <w:keepNext w:val="0"/>
              <w:keepLines w:val="0"/>
              <w:numPr>
                <w:ilvl w:val="0"/>
                <w:numId w:val="0"/>
              </w:numPr>
              <w:suppressLineNumbers w:val="0"/>
              <w:spacing w:before="0" w:beforeAutospacing="0" w:after="0" w:afterAutospacing="0"/>
              <w:ind w:left="0" w:leftChars="0" w:right="0"/>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3、出勤率、上岗及时率100%；人员月流动率控制在规定范围内。</w:t>
            </w:r>
          </w:p>
          <w:p>
            <w:pPr>
              <w:keepNext w:val="0"/>
              <w:keepLines w:val="0"/>
              <w:numPr>
                <w:ilvl w:val="0"/>
                <w:numId w:val="0"/>
              </w:numPr>
              <w:suppressLineNumbers w:val="0"/>
              <w:spacing w:before="0" w:beforeAutospacing="0" w:after="0" w:afterAutospacing="0"/>
              <w:ind w:left="0" w:leftChars="0" w:right="0"/>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4、未经业主同意，不得随意对岗上人员进行调换和撤离；出现岗位空缺，及时安排加班补岗，并在约定时间内补员。</w:t>
            </w:r>
          </w:p>
          <w:p>
            <w:pPr>
              <w:keepNext w:val="0"/>
              <w:keepLines w:val="0"/>
              <w:numPr>
                <w:ilvl w:val="0"/>
                <w:numId w:val="0"/>
              </w:numPr>
              <w:suppressLineNumbers w:val="0"/>
              <w:spacing w:before="0" w:beforeAutospacing="0" w:after="0" w:afterAutospacing="0"/>
              <w:ind w:left="0" w:leftChars="0" w:right="0"/>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5、外包单位现场管理人员的基本条件、技能知识符合要求标准；服从管理配合工作，主动汇报；具有合理的工作计划安排和问题处理协调能力。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6、中标单位对其自身及派驻本项目的安保人员的安全负全责。为本项目的安保人员购买相应的保险、并对其生老病死、工伤意外、劳务纠纷等特殊情况承担全部责任，严禁由于上述情况影响景区正常运营或者形象的情况发生。派驻本项目的安保人员与招标单位之间不存在劳动关系、雇佣关系、劳务派遣关系或类似关系，中标单位不对派驻本项目的安保人员承担劳动法上的义务，不适用《劳动法》、《劳动合同法》等劳动法规。</w:t>
            </w:r>
          </w:p>
        </w:tc>
        <w:tc>
          <w:tcPr>
            <w:tcW w:w="1523"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rPr>
              <w:t>15</w:t>
            </w:r>
          </w:p>
        </w:tc>
        <w:tc>
          <w:tcPr>
            <w:tcW w:w="2713" w:type="dxa"/>
            <w:vMerge w:val="continue"/>
            <w:tcBorders>
              <w:left w:val="nil"/>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kern w:val="0"/>
                <w:sz w:val="24"/>
                <w:szCs w:val="24"/>
              </w:rPr>
            </w:pPr>
          </w:p>
        </w:tc>
        <w:tc>
          <w:tcPr>
            <w:tcW w:w="147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kern w:val="0"/>
                <w:sz w:val="24"/>
                <w:szCs w:val="24"/>
              </w:rPr>
            </w:pPr>
          </w:p>
        </w:tc>
        <w:tc>
          <w:tcPr>
            <w:tcW w:w="925" w:type="dxa"/>
            <w:tcBorders>
              <w:top w:val="single" w:color="auto" w:sz="4" w:space="0"/>
              <w:left w:val="nil"/>
              <w:bottom w:val="single" w:color="auto" w:sz="4" w:space="0"/>
              <w:right w:val="single" w:color="auto" w:sz="4" w:space="0"/>
            </w:tcBorders>
            <w:vAlign w:val="center"/>
          </w:tcPr>
          <w:p>
            <w:pPr>
              <w:pStyle w:val="4"/>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tblPrEx>
          <w:tblCellMar>
            <w:top w:w="0" w:type="dxa"/>
            <w:left w:w="108" w:type="dxa"/>
            <w:bottom w:w="0" w:type="dxa"/>
            <w:right w:w="108" w:type="dxa"/>
          </w:tblCellMar>
        </w:tblPrEx>
        <w:trPr>
          <w:trHeight w:val="1538"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sz w:val="24"/>
                <w:szCs w:val="24"/>
              </w:rPr>
            </w:pPr>
            <w:r>
              <w:rPr>
                <w:rFonts w:hint="eastAsia" w:ascii="仿宋" w:hAnsi="仿宋" w:eastAsia="仿宋" w:cs="仿宋"/>
                <w:b/>
                <w:bCs/>
                <w:sz w:val="24"/>
                <w:szCs w:val="24"/>
              </w:rPr>
              <w:t>配合度和应急能力</w:t>
            </w:r>
          </w:p>
          <w:p>
            <w:pPr>
              <w:keepNext w:val="0"/>
              <w:keepLines w:val="0"/>
              <w:suppressLineNumbers w:val="0"/>
              <w:spacing w:before="0" w:beforeAutospacing="0" w:after="0" w:afterAutospacing="0"/>
              <w:ind w:left="0" w:right="0"/>
              <w:jc w:val="left"/>
              <w:rPr>
                <w:rFonts w:hint="default" w:ascii="仿宋" w:hAnsi="仿宋" w:eastAsia="仿宋" w:cs="仿宋"/>
                <w:sz w:val="24"/>
                <w:szCs w:val="24"/>
              </w:rPr>
            </w:pPr>
          </w:p>
        </w:tc>
        <w:tc>
          <w:tcPr>
            <w:tcW w:w="585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仿宋" w:hAnsi="仿宋" w:eastAsia="仿宋" w:cs="仿宋"/>
                <w:sz w:val="24"/>
                <w:szCs w:val="24"/>
                <w:lang w:val="en-US"/>
              </w:rPr>
            </w:pPr>
            <w:r>
              <w:rPr>
                <w:rFonts w:hint="eastAsia" w:ascii="仿宋" w:hAnsi="仿宋" w:eastAsia="仿宋" w:cs="仿宋"/>
                <w:sz w:val="24"/>
                <w:szCs w:val="24"/>
                <w:lang w:val="en-US" w:eastAsia="zh-CN"/>
              </w:rPr>
              <w:t>1、服从业主方的工作安排，对安保人员进行定岗、定员，保证人员稳定，确保队伍人员素质、服务质量满足各项要求。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 服从业主方的一体化管理，接受业主对应急事件的指挥和调度，满足业主在重大节假日、安全检查工作或管理区域内发生紧急事件等不确定时间段内增派人员的要求，协助完成好应急工作任务及业主交办的其他任务，并接受业主对其工作质量的考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仿宋" w:hAnsi="仿宋" w:eastAsia="仿宋" w:cs="仿宋"/>
                <w:kern w:val="2"/>
                <w:sz w:val="24"/>
                <w:szCs w:val="32"/>
                <w:lang w:val="en-US" w:eastAsia="zh-CN" w:bidi="ar"/>
              </w:rPr>
            </w:pPr>
            <w:r>
              <w:rPr>
                <w:rFonts w:hint="eastAsia" w:ascii="仿宋" w:hAnsi="仿宋" w:eastAsia="仿宋" w:cs="仿宋"/>
                <w:sz w:val="24"/>
                <w:szCs w:val="24"/>
                <w:lang w:val="en-US" w:eastAsia="zh-CN"/>
              </w:rPr>
              <w:t>3、提供业主要求的安全工作台帐资料。</w:t>
            </w:r>
          </w:p>
        </w:tc>
        <w:tc>
          <w:tcPr>
            <w:tcW w:w="1523"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rPr>
              <w:t>10</w:t>
            </w:r>
          </w:p>
        </w:tc>
        <w:tc>
          <w:tcPr>
            <w:tcW w:w="2713" w:type="dxa"/>
            <w:vMerge w:val="continue"/>
            <w:tcBorders>
              <w:left w:val="nil"/>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kern w:val="0"/>
                <w:sz w:val="24"/>
                <w:szCs w:val="24"/>
              </w:rPr>
            </w:pPr>
          </w:p>
        </w:tc>
        <w:tc>
          <w:tcPr>
            <w:tcW w:w="147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kern w:val="0"/>
                <w:sz w:val="24"/>
                <w:szCs w:val="24"/>
              </w:rPr>
            </w:pPr>
          </w:p>
        </w:tc>
        <w:tc>
          <w:tcPr>
            <w:tcW w:w="925" w:type="dxa"/>
            <w:tcBorders>
              <w:top w:val="single" w:color="auto" w:sz="4" w:space="0"/>
              <w:left w:val="nil"/>
              <w:bottom w:val="single" w:color="auto" w:sz="4" w:space="0"/>
              <w:right w:val="single" w:color="auto" w:sz="4" w:space="0"/>
            </w:tcBorders>
            <w:vAlign w:val="center"/>
          </w:tcPr>
          <w:p>
            <w:pPr>
              <w:pStyle w:val="4"/>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tblPrEx>
          <w:tblCellMar>
            <w:top w:w="0" w:type="dxa"/>
            <w:left w:w="108" w:type="dxa"/>
            <w:bottom w:w="0" w:type="dxa"/>
            <w:right w:w="108" w:type="dxa"/>
          </w:tblCellMar>
        </w:tblPrEx>
        <w:trPr>
          <w:trHeight w:val="807"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4"/>
                <w:szCs w:val="24"/>
                <w:lang w:val="en-US" w:eastAsia="zh-CN"/>
              </w:rPr>
            </w:pPr>
            <w:r>
              <w:rPr>
                <w:rFonts w:hint="eastAsia" w:ascii="仿宋" w:hAnsi="仿宋" w:eastAsia="仿宋" w:cs="仿宋"/>
                <w:b/>
                <w:bCs/>
                <w:sz w:val="24"/>
                <w:szCs w:val="24"/>
                <w:lang w:val="en-US" w:eastAsia="zh-CN"/>
              </w:rPr>
              <w:t>安保管理要求落实情况</w:t>
            </w:r>
          </w:p>
        </w:tc>
        <w:tc>
          <w:tcPr>
            <w:tcW w:w="5851"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发生安全事故或违反安全、消防、反恐等法规制度的事件</w:t>
            </w:r>
          </w:p>
        </w:tc>
        <w:tc>
          <w:tcPr>
            <w:tcW w:w="1523"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rPr>
              <w:t>15</w:t>
            </w:r>
          </w:p>
        </w:tc>
        <w:tc>
          <w:tcPr>
            <w:tcW w:w="2713" w:type="dxa"/>
            <w:vMerge w:val="continue"/>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sz w:val="24"/>
                <w:szCs w:val="24"/>
              </w:rPr>
            </w:pPr>
          </w:p>
        </w:tc>
        <w:tc>
          <w:tcPr>
            <w:tcW w:w="147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sz w:val="24"/>
                <w:szCs w:val="24"/>
              </w:rPr>
            </w:pPr>
          </w:p>
        </w:tc>
        <w:tc>
          <w:tcPr>
            <w:tcW w:w="925" w:type="dxa"/>
            <w:tcBorders>
              <w:top w:val="single" w:color="auto" w:sz="4" w:space="0"/>
              <w:left w:val="nil"/>
              <w:bottom w:val="single" w:color="auto" w:sz="4" w:space="0"/>
              <w:right w:val="single" w:color="auto" w:sz="4" w:space="0"/>
            </w:tcBorders>
            <w:vAlign w:val="center"/>
          </w:tcPr>
          <w:p>
            <w:pPr>
              <w:pStyle w:val="4"/>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tblPrEx>
          <w:tblCellMar>
            <w:top w:w="0" w:type="dxa"/>
            <w:left w:w="108" w:type="dxa"/>
            <w:bottom w:w="0" w:type="dxa"/>
            <w:right w:w="108" w:type="dxa"/>
          </w:tblCellMar>
        </w:tblPrEx>
        <w:trPr>
          <w:trHeight w:val="814"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sz w:val="24"/>
                <w:szCs w:val="24"/>
              </w:rPr>
            </w:pPr>
            <w:r>
              <w:rPr>
                <w:rFonts w:hint="eastAsia" w:ascii="仿宋" w:hAnsi="仿宋" w:eastAsia="仿宋" w:cs="仿宋"/>
                <w:b/>
                <w:bCs/>
                <w:sz w:val="24"/>
                <w:szCs w:val="24"/>
                <w:lang w:val="en-US" w:eastAsia="zh-CN"/>
              </w:rPr>
              <w:t>本月合计扣分</w:t>
            </w:r>
          </w:p>
        </w:tc>
        <w:tc>
          <w:tcPr>
            <w:tcW w:w="5851" w:type="dxa"/>
            <w:tcBorders>
              <w:top w:val="single" w:color="auto" w:sz="4" w:space="0"/>
              <w:left w:val="nil"/>
              <w:bottom w:val="single" w:color="auto" w:sz="4" w:space="0"/>
              <w:right w:val="single" w:color="auto" w:sz="4" w:space="0"/>
            </w:tcBorders>
            <w:vAlign w:val="center"/>
          </w:tcPr>
          <w:p>
            <w:pPr>
              <w:pStyle w:val="4"/>
              <w:keepNext w:val="0"/>
              <w:keepLines w:val="0"/>
              <w:suppressLineNumbers w:val="0"/>
              <w:spacing w:before="0" w:beforeAutospacing="0" w:after="0" w:afterAutospacing="0"/>
              <w:ind w:left="0" w:right="0"/>
              <w:jc w:val="center"/>
              <w:rPr>
                <w:rFonts w:hint="default" w:ascii="仿宋" w:hAnsi="仿宋" w:eastAsia="仿宋" w:cs="仿宋"/>
                <w:sz w:val="24"/>
                <w:szCs w:val="24"/>
              </w:rPr>
            </w:pPr>
          </w:p>
        </w:tc>
        <w:tc>
          <w:tcPr>
            <w:tcW w:w="1523" w:type="dxa"/>
            <w:tcBorders>
              <w:top w:val="single" w:color="auto" w:sz="4" w:space="0"/>
              <w:left w:val="nil"/>
              <w:bottom w:val="single" w:color="auto" w:sz="4" w:space="0"/>
              <w:right w:val="single" w:color="auto" w:sz="4" w:space="0"/>
            </w:tcBorders>
            <w:vAlign w:val="center"/>
          </w:tcPr>
          <w:p>
            <w:pPr>
              <w:pStyle w:val="4"/>
              <w:keepNext w:val="0"/>
              <w:keepLines w:val="0"/>
              <w:suppressLineNumbers w:val="0"/>
              <w:spacing w:before="0" w:beforeAutospacing="0" w:after="0" w:afterAutospacing="0"/>
              <w:ind w:left="0" w:right="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100</w:t>
            </w:r>
          </w:p>
        </w:tc>
        <w:tc>
          <w:tcPr>
            <w:tcW w:w="4183" w:type="dxa"/>
            <w:gridSpan w:val="2"/>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r>
              <w:rPr>
                <w:rFonts w:hint="eastAsia" w:ascii="仿宋" w:hAnsi="仿宋" w:eastAsia="仿宋" w:cs="仿宋"/>
                <w:b/>
                <w:bCs/>
                <w:sz w:val="24"/>
                <w:szCs w:val="24"/>
                <w:lang w:eastAsia="zh-CN"/>
              </w:rPr>
              <w:t>本月</w:t>
            </w:r>
            <w:r>
              <w:rPr>
                <w:rFonts w:hint="eastAsia" w:ascii="仿宋" w:hAnsi="仿宋" w:eastAsia="仿宋" w:cs="仿宋"/>
                <w:b/>
                <w:bCs/>
                <w:sz w:val="24"/>
                <w:szCs w:val="24"/>
                <w:lang w:val="en-US" w:eastAsia="zh-CN"/>
              </w:rPr>
              <w:t>得</w:t>
            </w:r>
            <w:r>
              <w:rPr>
                <w:rFonts w:hint="eastAsia" w:ascii="仿宋" w:hAnsi="仿宋" w:eastAsia="仿宋" w:cs="仿宋"/>
                <w:b/>
                <w:bCs/>
                <w:sz w:val="24"/>
                <w:szCs w:val="24"/>
              </w:rPr>
              <w:t>分</w:t>
            </w:r>
          </w:p>
        </w:tc>
        <w:tc>
          <w:tcPr>
            <w:tcW w:w="925"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tblPrEx>
          <w:tblCellMar>
            <w:top w:w="0" w:type="dxa"/>
            <w:left w:w="108" w:type="dxa"/>
            <w:bottom w:w="0" w:type="dxa"/>
            <w:right w:w="108" w:type="dxa"/>
          </w:tblCellMar>
        </w:tblPrEx>
        <w:trPr>
          <w:trHeight w:val="1028"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支付说明</w:t>
            </w:r>
          </w:p>
        </w:tc>
        <w:tc>
          <w:tcPr>
            <w:tcW w:w="12482" w:type="dxa"/>
            <w:gridSpan w:val="5"/>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sz w:val="24"/>
                <w:szCs w:val="24"/>
              </w:rPr>
            </w:pPr>
            <w:r>
              <w:rPr>
                <w:rFonts w:hint="eastAsia" w:ascii="仿宋" w:hAnsi="仿宋" w:eastAsia="仿宋" w:cs="仿宋"/>
                <w:sz w:val="24"/>
                <w:szCs w:val="24"/>
                <w:lang w:eastAsia="zh-CN"/>
              </w:rPr>
              <w:t>本月实际出</w:t>
            </w:r>
            <w:r>
              <w:rPr>
                <w:rFonts w:hint="eastAsia" w:ascii="仿宋" w:hAnsi="仿宋" w:eastAsia="仿宋" w:cs="仿宋"/>
                <w:kern w:val="0"/>
                <w:sz w:val="24"/>
                <w:szCs w:val="24"/>
                <w:lang w:val="en-US" w:eastAsia="zh-CN"/>
              </w:rPr>
              <w:t>勤         小时、     人次，按合同    人支付，中标价平均每人每月       元，合计            元，扣除日常考核          元，还应支付            元。</w:t>
            </w:r>
          </w:p>
        </w:tc>
      </w:tr>
      <w:tr>
        <w:tblPrEx>
          <w:tblCellMar>
            <w:top w:w="0" w:type="dxa"/>
            <w:left w:w="108" w:type="dxa"/>
            <w:bottom w:w="0" w:type="dxa"/>
            <w:right w:w="108" w:type="dxa"/>
          </w:tblCellMar>
        </w:tblPrEx>
        <w:trPr>
          <w:trHeight w:val="1499"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考核人员签字</w:t>
            </w:r>
          </w:p>
        </w:tc>
        <w:tc>
          <w:tcPr>
            <w:tcW w:w="12482" w:type="dxa"/>
            <w:gridSpan w:val="5"/>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24"/>
                <w:szCs w:val="24"/>
                <w:lang w:val="en-US" w:eastAsia="zh-CN"/>
              </w:rPr>
            </w:pPr>
          </w:p>
        </w:tc>
      </w:tr>
      <w:tr>
        <w:tblPrEx>
          <w:tblCellMar>
            <w:top w:w="0" w:type="dxa"/>
            <w:left w:w="108" w:type="dxa"/>
            <w:bottom w:w="0" w:type="dxa"/>
            <w:right w:w="108" w:type="dxa"/>
          </w:tblCellMar>
        </w:tblPrEx>
        <w:trPr>
          <w:trHeight w:val="1469"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被考核单位签章</w:t>
            </w:r>
          </w:p>
        </w:tc>
        <w:tc>
          <w:tcPr>
            <w:tcW w:w="12482" w:type="dxa"/>
            <w:gridSpan w:val="5"/>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4"/>
                <w:szCs w:val="24"/>
              </w:rPr>
            </w:p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roman"/>
    <w:pitch w:val="default"/>
    <w:sig w:usb0="00000000" w:usb1="00000000" w:usb2="00000008"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GWZT-EN"/>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
    <w:altName w:val="仿宋_GB2312"/>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GWZT-EN">
    <w:panose1 w:val="020204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F99BB64"/>
    <w:rsid w:val="67752641"/>
    <w:rsid w:val="EF99B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无间隔2"/>
    <w:basedOn w:val="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2024-08-27T16:47:00Z</dcterms:created>
  <dc:creator>xmadmin</dc:creator>
  <cp:lastModifiedBy>xmadmin</cp:lastModifiedBy>
  <dcterms:modified xsi:type="dcterms:W3CDTF">2024-08-27T16:50:26Z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AC9FA9DED3263DF19F92CD66CEAFE4E1</vt:lpwstr>
  </property>
</Properties>
</file>